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D9F" w:rsidRDefault="009B7D9F" w:rsidP="00AB2863">
      <w:pPr>
        <w:spacing w:line="420" w:lineRule="exact"/>
        <w:jc w:val="center"/>
        <w:rPr>
          <w:rFonts w:ascii="標楷體" w:eastAsia="標楷體" w:hAnsi="標楷體"/>
          <w:b/>
          <w:color w:val="000000"/>
          <w:sz w:val="32"/>
          <w:szCs w:val="32"/>
        </w:rPr>
      </w:pPr>
      <w:r w:rsidRPr="000374E9">
        <w:rPr>
          <w:rFonts w:ascii="標楷體" w:eastAsia="標楷體" w:hAnsi="標楷體" w:hint="eastAsia"/>
          <w:b/>
          <w:color w:val="000000"/>
          <w:sz w:val="32"/>
          <w:szCs w:val="32"/>
        </w:rPr>
        <w:t>中臺科技大學 教師執行計畫重要規定自我檢核表</w:t>
      </w:r>
    </w:p>
    <w:p w:rsidR="009B13D1" w:rsidRPr="000374E9" w:rsidRDefault="009B13D1" w:rsidP="00AB2863">
      <w:pPr>
        <w:spacing w:line="420" w:lineRule="exact"/>
        <w:jc w:val="center"/>
        <w:rPr>
          <w:rFonts w:ascii="標楷體" w:eastAsia="標楷體" w:hAnsi="標楷體"/>
          <w:b/>
          <w:color w:val="000000"/>
          <w:sz w:val="32"/>
          <w:szCs w:val="32"/>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
        <w:gridCol w:w="7633"/>
        <w:gridCol w:w="1477"/>
      </w:tblGrid>
      <w:tr w:rsidR="00CA70E1" w:rsidRPr="000966F4" w:rsidTr="000A05C5">
        <w:trPr>
          <w:trHeight w:val="410"/>
          <w:jc w:val="center"/>
        </w:trPr>
        <w:tc>
          <w:tcPr>
            <w:tcW w:w="527" w:type="dxa"/>
            <w:tcBorders>
              <w:top w:val="nil"/>
              <w:left w:val="nil"/>
              <w:bottom w:val="nil"/>
              <w:right w:val="nil"/>
            </w:tcBorders>
          </w:tcPr>
          <w:p w:rsidR="00CA70E1" w:rsidRPr="000966F4" w:rsidRDefault="00CA70E1" w:rsidP="00CA70E1">
            <w:pPr>
              <w:topLinePunct/>
              <w:spacing w:beforeLines="50" w:before="120" w:line="360" w:lineRule="exact"/>
              <w:jc w:val="center"/>
              <w:rPr>
                <w:rFonts w:ascii="標楷體" w:eastAsia="標楷體" w:hAnsi="標楷體"/>
                <w:bCs/>
                <w:color w:val="000000"/>
              </w:rPr>
            </w:pPr>
            <w:r w:rsidRPr="000966F4">
              <w:rPr>
                <w:rFonts w:ascii="標楷體" w:eastAsia="標楷體" w:hAnsi="標楷體" w:hint="eastAsia"/>
                <w:bCs/>
                <w:color w:val="000000"/>
              </w:rPr>
              <w:t>1.</w:t>
            </w:r>
          </w:p>
        </w:tc>
        <w:tc>
          <w:tcPr>
            <w:tcW w:w="7633" w:type="dxa"/>
            <w:tcBorders>
              <w:top w:val="nil"/>
              <w:left w:val="nil"/>
              <w:bottom w:val="nil"/>
              <w:right w:val="nil"/>
            </w:tcBorders>
          </w:tcPr>
          <w:p w:rsidR="00CA70E1" w:rsidRPr="00104AFC" w:rsidRDefault="00CA70E1" w:rsidP="00CA70E1">
            <w:pPr>
              <w:topLinePunct/>
              <w:spacing w:beforeLines="50" w:before="120" w:line="320" w:lineRule="exact"/>
              <w:ind w:leftChars="51" w:left="124" w:rightChars="54" w:right="130" w:hanging="2"/>
              <w:jc w:val="both"/>
              <w:rPr>
                <w:rFonts w:eastAsia="標楷體"/>
                <w:bCs/>
                <w:color w:val="000000"/>
              </w:rPr>
            </w:pPr>
            <w:r w:rsidRPr="00104AFC">
              <w:rPr>
                <w:rFonts w:eastAsia="標楷體" w:hint="eastAsia"/>
                <w:bCs/>
                <w:color w:val="000000"/>
              </w:rPr>
              <w:t>執行補助或委辦計畫經費之動支係屬動用公帑，應恪守「大學校院及教師辦理計畫經費核銷重要規定事項」及相關規定。</w:t>
            </w:r>
          </w:p>
        </w:tc>
        <w:tc>
          <w:tcPr>
            <w:tcW w:w="1477" w:type="dxa"/>
            <w:tcBorders>
              <w:top w:val="nil"/>
              <w:left w:val="nil"/>
              <w:bottom w:val="nil"/>
              <w:right w:val="nil"/>
            </w:tcBorders>
          </w:tcPr>
          <w:p w:rsidR="00CA70E1" w:rsidRPr="000966F4" w:rsidRDefault="00CA70E1" w:rsidP="00CA70E1">
            <w:pPr>
              <w:adjustRightInd/>
              <w:spacing w:beforeLines="50" w:before="120" w:line="360" w:lineRule="exact"/>
              <w:jc w:val="center"/>
              <w:textAlignment w:val="auto"/>
              <w:rPr>
                <w:rFonts w:ascii="標楷體" w:eastAsia="標楷體" w:hAnsi="標楷體"/>
                <w:color w:val="000000"/>
              </w:rPr>
            </w:pPr>
            <w:r>
              <w:rPr>
                <w:rFonts w:ascii="標楷體" w:eastAsia="標楷體" w:hAnsi="標楷體" w:hint="eastAsia"/>
                <w:color w:val="000000"/>
              </w:rPr>
              <w:t>□</w:t>
            </w:r>
            <w:r w:rsidRPr="00D16372">
              <w:rPr>
                <w:rFonts w:ascii="標楷體" w:eastAsia="標楷體" w:hAnsi="標楷體" w:hint="eastAsia"/>
                <w:color w:val="000000"/>
              </w:rPr>
              <w:t xml:space="preserve"> 已瞭解</w:t>
            </w:r>
          </w:p>
        </w:tc>
      </w:tr>
      <w:tr w:rsidR="00CA70E1" w:rsidRPr="000966F4" w:rsidTr="000A05C5">
        <w:trPr>
          <w:trHeight w:val="410"/>
          <w:jc w:val="center"/>
        </w:trPr>
        <w:tc>
          <w:tcPr>
            <w:tcW w:w="527" w:type="dxa"/>
            <w:tcBorders>
              <w:top w:val="nil"/>
              <w:left w:val="nil"/>
              <w:bottom w:val="nil"/>
              <w:right w:val="nil"/>
            </w:tcBorders>
          </w:tcPr>
          <w:p w:rsidR="00CA70E1" w:rsidRPr="000966F4" w:rsidRDefault="00CA70E1" w:rsidP="00CA70E1">
            <w:pPr>
              <w:topLinePunct/>
              <w:spacing w:beforeLines="50" w:before="120" w:line="360" w:lineRule="exact"/>
              <w:jc w:val="center"/>
              <w:rPr>
                <w:rFonts w:ascii="標楷體" w:eastAsia="標楷體" w:hAnsi="標楷體"/>
                <w:bCs/>
                <w:color w:val="000000"/>
              </w:rPr>
            </w:pPr>
            <w:r>
              <w:rPr>
                <w:rFonts w:ascii="標楷體" w:eastAsia="標楷體" w:hAnsi="標楷體" w:hint="eastAsia"/>
                <w:bCs/>
                <w:color w:val="000000"/>
              </w:rPr>
              <w:t>2.</w:t>
            </w:r>
          </w:p>
        </w:tc>
        <w:tc>
          <w:tcPr>
            <w:tcW w:w="7633" w:type="dxa"/>
            <w:tcBorders>
              <w:top w:val="nil"/>
              <w:left w:val="nil"/>
              <w:bottom w:val="nil"/>
              <w:right w:val="nil"/>
            </w:tcBorders>
          </w:tcPr>
          <w:p w:rsidR="00CA70E1" w:rsidRPr="00104AFC" w:rsidRDefault="009B13D1" w:rsidP="00BD1CFD">
            <w:pPr>
              <w:topLinePunct/>
              <w:spacing w:beforeLines="50" w:before="120" w:line="320" w:lineRule="exact"/>
              <w:ind w:leftChars="51" w:left="124" w:rightChars="54" w:right="130" w:hanging="2"/>
              <w:jc w:val="both"/>
              <w:rPr>
                <w:rFonts w:eastAsia="標楷體"/>
                <w:bCs/>
                <w:color w:val="000000"/>
              </w:rPr>
            </w:pPr>
            <w:r w:rsidRPr="00104AFC">
              <w:rPr>
                <w:rFonts w:eastAsia="標楷體"/>
                <w:bCs/>
                <w:color w:val="000000"/>
              </w:rPr>
              <w:t>依「支出憑證處理要點」第</w:t>
            </w:r>
            <w:r w:rsidRPr="00104AFC">
              <w:rPr>
                <w:rFonts w:eastAsia="標楷體"/>
                <w:bCs/>
                <w:color w:val="000000"/>
              </w:rPr>
              <w:t>3</w:t>
            </w:r>
            <w:r w:rsidRPr="00104AFC">
              <w:rPr>
                <w:rFonts w:eastAsia="標楷體"/>
                <w:bCs/>
                <w:color w:val="000000"/>
              </w:rPr>
              <w:t>點規定：</w:t>
            </w:r>
            <w:r w:rsidRPr="00104AFC">
              <w:rPr>
                <w:rFonts w:eastAsia="標楷體"/>
                <w:color w:val="000000"/>
              </w:rPr>
              <w:t>各機關員工向機關申請支付款項，應本誠信原則對所提出之支出憑證之支付事實真實性負責，如有不實應負相關責任（如貪污治罪條例或相關刑事責任）。</w:t>
            </w:r>
          </w:p>
        </w:tc>
        <w:tc>
          <w:tcPr>
            <w:tcW w:w="1477" w:type="dxa"/>
            <w:tcBorders>
              <w:top w:val="nil"/>
              <w:left w:val="nil"/>
              <w:bottom w:val="nil"/>
              <w:right w:val="nil"/>
            </w:tcBorders>
          </w:tcPr>
          <w:p w:rsidR="00CA70E1" w:rsidRPr="000966F4" w:rsidRDefault="00CA70E1" w:rsidP="00CA70E1">
            <w:pPr>
              <w:adjustRightInd/>
              <w:spacing w:beforeLines="50" w:before="120" w:line="360" w:lineRule="exact"/>
              <w:jc w:val="center"/>
              <w:textAlignment w:val="auto"/>
              <w:rPr>
                <w:rFonts w:ascii="標楷體" w:eastAsia="標楷體" w:hAnsi="標楷體"/>
                <w:color w:val="000000"/>
              </w:rPr>
            </w:pPr>
            <w:r>
              <w:rPr>
                <w:rFonts w:ascii="標楷體" w:eastAsia="標楷體" w:hAnsi="標楷體" w:hint="eastAsia"/>
                <w:color w:val="000000"/>
              </w:rPr>
              <w:t>□</w:t>
            </w:r>
            <w:r w:rsidRPr="00D16372">
              <w:rPr>
                <w:rFonts w:ascii="標楷體" w:eastAsia="標楷體" w:hAnsi="標楷體" w:hint="eastAsia"/>
                <w:color w:val="000000"/>
              </w:rPr>
              <w:t xml:space="preserve"> 已瞭解</w:t>
            </w:r>
          </w:p>
        </w:tc>
      </w:tr>
      <w:tr w:rsidR="00CA70E1" w:rsidRPr="000966F4" w:rsidTr="000A05C5">
        <w:trPr>
          <w:trHeight w:val="410"/>
          <w:jc w:val="center"/>
        </w:trPr>
        <w:tc>
          <w:tcPr>
            <w:tcW w:w="527" w:type="dxa"/>
            <w:tcBorders>
              <w:top w:val="nil"/>
              <w:left w:val="nil"/>
              <w:bottom w:val="nil"/>
              <w:right w:val="nil"/>
            </w:tcBorders>
          </w:tcPr>
          <w:p w:rsidR="00CA70E1" w:rsidRPr="000966F4" w:rsidRDefault="00CA70E1" w:rsidP="00CA70E1">
            <w:pPr>
              <w:topLinePunct/>
              <w:spacing w:beforeLines="50" w:before="120" w:line="360" w:lineRule="exact"/>
              <w:jc w:val="center"/>
              <w:rPr>
                <w:rFonts w:ascii="標楷體" w:eastAsia="標楷體" w:hAnsi="標楷體"/>
                <w:bCs/>
                <w:color w:val="000000"/>
              </w:rPr>
            </w:pPr>
            <w:r>
              <w:rPr>
                <w:rFonts w:ascii="標楷體" w:eastAsia="標楷體" w:hAnsi="標楷體" w:hint="eastAsia"/>
                <w:bCs/>
                <w:color w:val="000000"/>
              </w:rPr>
              <w:t>3</w:t>
            </w:r>
            <w:r w:rsidRPr="000966F4">
              <w:rPr>
                <w:rFonts w:ascii="標楷體" w:eastAsia="標楷體" w:hAnsi="標楷體" w:hint="eastAsia"/>
                <w:bCs/>
                <w:color w:val="000000"/>
              </w:rPr>
              <w:t>.</w:t>
            </w:r>
          </w:p>
        </w:tc>
        <w:tc>
          <w:tcPr>
            <w:tcW w:w="7633" w:type="dxa"/>
            <w:tcBorders>
              <w:top w:val="nil"/>
              <w:left w:val="nil"/>
              <w:bottom w:val="nil"/>
              <w:right w:val="nil"/>
            </w:tcBorders>
          </w:tcPr>
          <w:p w:rsidR="009B13D1" w:rsidRPr="00F01BCA" w:rsidRDefault="009B13D1" w:rsidP="009B13D1">
            <w:pPr>
              <w:tabs>
                <w:tab w:val="left" w:pos="709"/>
              </w:tabs>
              <w:topLinePunct/>
              <w:spacing w:beforeLines="50" w:before="120" w:line="320" w:lineRule="exact"/>
              <w:ind w:leftChars="42" w:left="101"/>
              <w:jc w:val="both"/>
              <w:rPr>
                <w:rFonts w:eastAsia="標楷體"/>
              </w:rPr>
            </w:pPr>
            <w:r w:rsidRPr="00F01BCA">
              <w:rPr>
                <w:rFonts w:eastAsia="標楷體"/>
                <w:bCs/>
                <w:color w:val="000000"/>
              </w:rPr>
              <w:t>計畫所需人員之進用應符合利益迴避原則：如計畫主持人、共同主持人、各機關長官（首長、校長等）及其各級主管長官（各級單位主管、院長、系所主任等）之配偶及三親等以內血親、姻親應迴避進用為該計畫之臨時（或約用）人員（含專任助理、兼任助理及臨時工等助理人員），</w:t>
            </w:r>
            <w:r w:rsidRPr="00F01BCA">
              <w:rPr>
                <w:rFonts w:eastAsia="標楷體"/>
              </w:rPr>
              <w:t>且不得進用大陸地區學生擔任專任助理、兼任助理及臨時工，亦不得以補助經費（含管理費）支付大陸地區學生獎助學金。</w:t>
            </w:r>
          </w:p>
          <w:p w:rsidR="009B13D1" w:rsidRPr="00F01BCA" w:rsidRDefault="009B13D1" w:rsidP="009B13D1">
            <w:pPr>
              <w:topLinePunct/>
              <w:spacing w:line="320" w:lineRule="exact"/>
              <w:ind w:leftChars="51" w:left="122" w:rightChars="54" w:right="130"/>
              <w:jc w:val="both"/>
              <w:rPr>
                <w:rFonts w:eastAsia="標楷體"/>
                <w:color w:val="FF0000"/>
                <w:shd w:val="pct15" w:color="auto" w:fill="FFFFFF"/>
              </w:rPr>
            </w:pPr>
            <w:r w:rsidRPr="00F01BCA">
              <w:rPr>
                <w:rFonts w:eastAsia="標楷體"/>
                <w:color w:val="FF0000"/>
                <w:shd w:val="pct15" w:color="auto" w:fill="FFFFFF"/>
              </w:rPr>
              <w:t>各項計畫案辦理專兼、任助理及臨時工之聘用申請書時，請務必留意聘用起始日必須在學校核准約用日之後。</w:t>
            </w:r>
          </w:p>
          <w:p w:rsidR="00CA70E1" w:rsidRPr="00104AFC" w:rsidRDefault="009B13D1" w:rsidP="009B13D1">
            <w:pPr>
              <w:topLinePunct/>
              <w:spacing w:beforeLines="50" w:before="120" w:line="320" w:lineRule="exact"/>
              <w:ind w:leftChars="51" w:left="124" w:rightChars="54" w:right="130" w:hanging="2"/>
              <w:jc w:val="both"/>
              <w:rPr>
                <w:rFonts w:eastAsia="標楷體"/>
                <w:bCs/>
                <w:color w:val="000000"/>
              </w:rPr>
            </w:pPr>
            <w:r w:rsidRPr="00F01BCA">
              <w:rPr>
                <w:rFonts w:eastAsia="標楷體"/>
                <w:bCs/>
                <w:color w:val="000000"/>
              </w:rPr>
              <w:t>計畫主持人及共同主持人如為臨時人員要點迴避進用規定之機關長官或各級主管長官（如校長、院長或系主任等），應依該規定迴避進用。</w:t>
            </w:r>
          </w:p>
        </w:tc>
        <w:tc>
          <w:tcPr>
            <w:tcW w:w="1477" w:type="dxa"/>
            <w:tcBorders>
              <w:top w:val="nil"/>
              <w:left w:val="nil"/>
              <w:bottom w:val="nil"/>
              <w:right w:val="nil"/>
            </w:tcBorders>
          </w:tcPr>
          <w:p w:rsidR="00CA70E1" w:rsidRPr="000966F4" w:rsidRDefault="00CA70E1" w:rsidP="00CA70E1">
            <w:pPr>
              <w:adjustRightInd/>
              <w:spacing w:beforeLines="50" w:before="120" w:line="360" w:lineRule="exact"/>
              <w:jc w:val="center"/>
              <w:textAlignment w:val="auto"/>
              <w:rPr>
                <w:rFonts w:ascii="標楷體" w:eastAsia="標楷體" w:hAnsi="標楷體"/>
                <w:color w:val="000000"/>
              </w:rPr>
            </w:pPr>
            <w:r>
              <w:rPr>
                <w:rFonts w:ascii="標楷體" w:eastAsia="標楷體" w:hAnsi="標楷體" w:hint="eastAsia"/>
                <w:color w:val="000000"/>
              </w:rPr>
              <w:t>□</w:t>
            </w:r>
            <w:r w:rsidRPr="00D16372">
              <w:rPr>
                <w:rFonts w:ascii="標楷體" w:eastAsia="標楷體" w:hAnsi="標楷體" w:hint="eastAsia"/>
                <w:color w:val="000000"/>
              </w:rPr>
              <w:t xml:space="preserve"> 已瞭解</w:t>
            </w:r>
          </w:p>
        </w:tc>
      </w:tr>
      <w:tr w:rsidR="00CA70E1" w:rsidRPr="000966F4" w:rsidTr="000A05C5">
        <w:trPr>
          <w:trHeight w:val="410"/>
          <w:jc w:val="center"/>
        </w:trPr>
        <w:tc>
          <w:tcPr>
            <w:tcW w:w="527" w:type="dxa"/>
            <w:tcBorders>
              <w:top w:val="nil"/>
              <w:left w:val="nil"/>
              <w:bottom w:val="nil"/>
              <w:right w:val="nil"/>
            </w:tcBorders>
          </w:tcPr>
          <w:p w:rsidR="00CA70E1" w:rsidRPr="000966F4" w:rsidRDefault="00CA70E1" w:rsidP="00CA70E1">
            <w:pPr>
              <w:topLinePunct/>
              <w:spacing w:beforeLines="50" w:before="120" w:line="360" w:lineRule="exact"/>
              <w:jc w:val="center"/>
              <w:rPr>
                <w:rFonts w:ascii="標楷體" w:eastAsia="標楷體" w:hAnsi="標楷體"/>
                <w:bCs/>
                <w:color w:val="000000"/>
              </w:rPr>
            </w:pPr>
            <w:r>
              <w:rPr>
                <w:rFonts w:ascii="標楷體" w:eastAsia="標楷體" w:hAnsi="標楷體" w:hint="eastAsia"/>
                <w:bCs/>
                <w:color w:val="000000"/>
              </w:rPr>
              <w:t>4</w:t>
            </w:r>
            <w:r w:rsidRPr="000966F4">
              <w:rPr>
                <w:rFonts w:ascii="標楷體" w:eastAsia="標楷體" w:hAnsi="標楷體" w:hint="eastAsia"/>
                <w:bCs/>
                <w:color w:val="000000"/>
              </w:rPr>
              <w:t>.</w:t>
            </w:r>
          </w:p>
        </w:tc>
        <w:tc>
          <w:tcPr>
            <w:tcW w:w="7633" w:type="dxa"/>
            <w:tcBorders>
              <w:top w:val="nil"/>
              <w:left w:val="nil"/>
              <w:bottom w:val="nil"/>
              <w:right w:val="nil"/>
            </w:tcBorders>
          </w:tcPr>
          <w:p w:rsidR="00CA70E1" w:rsidRPr="00F01BCA" w:rsidRDefault="009B13D1" w:rsidP="00CA70E1">
            <w:pPr>
              <w:topLinePunct/>
              <w:spacing w:line="320" w:lineRule="exact"/>
              <w:ind w:leftChars="51" w:left="122" w:rightChars="54" w:right="130"/>
              <w:jc w:val="both"/>
              <w:rPr>
                <w:rFonts w:eastAsia="標楷體"/>
                <w:bCs/>
                <w:color w:val="000000"/>
              </w:rPr>
            </w:pPr>
            <w:r w:rsidRPr="00104AFC">
              <w:rPr>
                <w:rFonts w:eastAsia="標楷體" w:hint="eastAsia"/>
                <w:bCs/>
                <w:color w:val="000000"/>
              </w:rPr>
              <w:t>執行計畫辦理財產、物品或勞務採購時，應依照政府採購法、撥款單位規定及科研採購等相關規定辦理。除國科會科研經費採購依政府補助科學技術研究發展採購監督管理辦法或採購法辦理外，超過</w:t>
            </w:r>
            <w:r w:rsidRPr="00104AFC">
              <w:rPr>
                <w:rFonts w:eastAsia="標楷體" w:hint="eastAsia"/>
                <w:bCs/>
                <w:color w:val="000000"/>
              </w:rPr>
              <w:t>15</w:t>
            </w:r>
            <w:r w:rsidRPr="00104AFC">
              <w:rPr>
                <w:rFonts w:eastAsia="標楷體" w:hint="eastAsia"/>
                <w:bCs/>
                <w:color w:val="000000"/>
              </w:rPr>
              <w:t>萬元之採購案應依照政府採購法辦理招標，不得意圖規避政府採購法，分批辦理採購。</w:t>
            </w:r>
          </w:p>
        </w:tc>
        <w:tc>
          <w:tcPr>
            <w:tcW w:w="1477" w:type="dxa"/>
            <w:tcBorders>
              <w:top w:val="nil"/>
              <w:left w:val="nil"/>
              <w:bottom w:val="nil"/>
              <w:right w:val="nil"/>
            </w:tcBorders>
          </w:tcPr>
          <w:p w:rsidR="00CA70E1" w:rsidRPr="000966F4" w:rsidRDefault="00CA70E1" w:rsidP="00CA70E1">
            <w:pPr>
              <w:adjustRightInd/>
              <w:spacing w:beforeLines="50" w:before="120" w:line="360" w:lineRule="exact"/>
              <w:jc w:val="center"/>
              <w:textAlignment w:val="auto"/>
              <w:rPr>
                <w:rFonts w:ascii="標楷體" w:eastAsia="標楷體" w:hAnsi="標楷體"/>
                <w:color w:val="000000"/>
              </w:rPr>
            </w:pPr>
            <w:r>
              <w:rPr>
                <w:rFonts w:ascii="標楷體" w:eastAsia="標楷體" w:hAnsi="標楷體" w:hint="eastAsia"/>
                <w:color w:val="000000"/>
              </w:rPr>
              <w:t>□</w:t>
            </w:r>
            <w:r w:rsidRPr="00D16372">
              <w:rPr>
                <w:rFonts w:ascii="標楷體" w:eastAsia="標楷體" w:hAnsi="標楷體" w:hint="eastAsia"/>
                <w:color w:val="000000"/>
              </w:rPr>
              <w:t xml:space="preserve"> 已瞭解</w:t>
            </w:r>
          </w:p>
        </w:tc>
      </w:tr>
      <w:tr w:rsidR="00CA70E1" w:rsidRPr="000966F4" w:rsidTr="000A05C5">
        <w:trPr>
          <w:trHeight w:val="410"/>
          <w:jc w:val="center"/>
        </w:trPr>
        <w:tc>
          <w:tcPr>
            <w:tcW w:w="527" w:type="dxa"/>
            <w:tcBorders>
              <w:top w:val="nil"/>
              <w:left w:val="nil"/>
              <w:bottom w:val="nil"/>
              <w:right w:val="nil"/>
            </w:tcBorders>
          </w:tcPr>
          <w:p w:rsidR="00CA70E1" w:rsidRPr="000966F4" w:rsidRDefault="00CA70E1" w:rsidP="00CA70E1">
            <w:pPr>
              <w:spacing w:beforeLines="50" w:before="120" w:line="360" w:lineRule="exact"/>
              <w:jc w:val="center"/>
              <w:rPr>
                <w:rFonts w:ascii="標楷體" w:eastAsia="標楷體" w:hAnsi="標楷體"/>
                <w:color w:val="000000"/>
              </w:rPr>
            </w:pPr>
            <w:r>
              <w:rPr>
                <w:rFonts w:ascii="標楷體" w:eastAsia="標楷體" w:hAnsi="標楷體" w:hint="eastAsia"/>
                <w:color w:val="000000"/>
              </w:rPr>
              <w:t>5</w:t>
            </w:r>
            <w:r w:rsidRPr="000966F4">
              <w:rPr>
                <w:rFonts w:ascii="標楷體" w:eastAsia="標楷體" w:hAnsi="標楷體" w:hint="eastAsia"/>
                <w:color w:val="000000"/>
              </w:rPr>
              <w:t>.</w:t>
            </w:r>
          </w:p>
        </w:tc>
        <w:tc>
          <w:tcPr>
            <w:tcW w:w="7633" w:type="dxa"/>
            <w:tcBorders>
              <w:top w:val="nil"/>
              <w:left w:val="nil"/>
              <w:bottom w:val="nil"/>
              <w:right w:val="nil"/>
            </w:tcBorders>
          </w:tcPr>
          <w:p w:rsidR="00CA70E1" w:rsidRPr="00104AFC" w:rsidRDefault="009B13D1" w:rsidP="00CA70E1">
            <w:pPr>
              <w:topLinePunct/>
              <w:spacing w:beforeLines="50" w:before="120" w:line="320" w:lineRule="exact"/>
              <w:ind w:leftChars="51" w:left="124" w:rightChars="54" w:right="130" w:hanging="2"/>
              <w:jc w:val="both"/>
              <w:rPr>
                <w:rFonts w:eastAsia="標楷體"/>
                <w:bCs/>
                <w:color w:val="000000"/>
              </w:rPr>
            </w:pPr>
            <w:r w:rsidRPr="00104AFC">
              <w:rPr>
                <w:rFonts w:eastAsia="標楷體" w:hint="eastAsia"/>
                <w:bCs/>
                <w:color w:val="000000"/>
              </w:rPr>
              <w:t>所執行之計畫若屬公家機關之經費，依據公庫法第</w:t>
            </w:r>
            <w:r w:rsidRPr="00104AFC">
              <w:rPr>
                <w:rFonts w:eastAsia="標楷體" w:hint="eastAsia"/>
                <w:bCs/>
                <w:color w:val="000000"/>
              </w:rPr>
              <w:t>16</w:t>
            </w:r>
            <w:r w:rsidRPr="00104AFC">
              <w:rPr>
                <w:rFonts w:eastAsia="標楷體" w:hint="eastAsia"/>
                <w:bCs/>
                <w:color w:val="000000"/>
              </w:rPr>
              <w:t>條規定，各機關辦理各項支付，依規定簽發支票或以存帳入戶方式，直接付與受款人。另行政院主計處</w:t>
            </w:r>
            <w:r w:rsidRPr="00104AFC">
              <w:rPr>
                <w:rFonts w:eastAsia="標楷體" w:hint="eastAsia"/>
                <w:bCs/>
                <w:color w:val="000000"/>
              </w:rPr>
              <w:t>87</w:t>
            </w:r>
            <w:r w:rsidRPr="00104AFC">
              <w:rPr>
                <w:rFonts w:eastAsia="標楷體" w:hint="eastAsia"/>
                <w:bCs/>
                <w:color w:val="000000"/>
              </w:rPr>
              <w:t>年</w:t>
            </w:r>
            <w:r w:rsidRPr="00104AFC">
              <w:rPr>
                <w:rFonts w:eastAsia="標楷體" w:hint="eastAsia"/>
                <w:bCs/>
                <w:color w:val="000000"/>
              </w:rPr>
              <w:t>8</w:t>
            </w:r>
            <w:r w:rsidRPr="00104AFC">
              <w:rPr>
                <w:rFonts w:eastAsia="標楷體" w:hint="eastAsia"/>
                <w:bCs/>
                <w:color w:val="000000"/>
              </w:rPr>
              <w:t>月</w:t>
            </w:r>
            <w:r w:rsidRPr="00104AFC">
              <w:rPr>
                <w:rFonts w:eastAsia="標楷體" w:hint="eastAsia"/>
                <w:bCs/>
                <w:color w:val="000000"/>
              </w:rPr>
              <w:t>31</w:t>
            </w:r>
            <w:r w:rsidRPr="00104AFC">
              <w:rPr>
                <w:rFonts w:eastAsia="標楷體" w:hint="eastAsia"/>
                <w:bCs/>
                <w:color w:val="000000"/>
              </w:rPr>
              <w:t>日台</w:t>
            </w:r>
            <w:r w:rsidRPr="00104AFC">
              <w:rPr>
                <w:rFonts w:eastAsia="標楷體" w:hint="eastAsia"/>
                <w:bCs/>
                <w:color w:val="000000"/>
              </w:rPr>
              <w:t>87</w:t>
            </w:r>
            <w:r w:rsidRPr="00104AFC">
              <w:rPr>
                <w:rFonts w:eastAsia="標楷體" w:hint="eastAsia"/>
                <w:bCs/>
                <w:color w:val="000000"/>
              </w:rPr>
              <w:t>處三字第</w:t>
            </w:r>
            <w:r w:rsidRPr="00104AFC">
              <w:rPr>
                <w:rFonts w:eastAsia="標楷體" w:hint="eastAsia"/>
                <w:bCs/>
                <w:color w:val="000000"/>
              </w:rPr>
              <w:t>07182</w:t>
            </w:r>
            <w:r w:rsidRPr="00104AFC">
              <w:rPr>
                <w:rFonts w:eastAsia="標楷體" w:hint="eastAsia"/>
                <w:bCs/>
                <w:color w:val="000000"/>
              </w:rPr>
              <w:t>號函規定：「各機關對公款支付，除零用金外，應採劃撥轉帳方式處理。」因此，超過</w:t>
            </w:r>
            <w:r w:rsidRPr="00104AFC">
              <w:rPr>
                <w:rFonts w:eastAsia="標楷體" w:hint="eastAsia"/>
                <w:bCs/>
                <w:color w:val="000000"/>
              </w:rPr>
              <w:t>1</w:t>
            </w:r>
            <w:r w:rsidRPr="00104AFC">
              <w:rPr>
                <w:rFonts w:eastAsia="標楷體" w:hint="eastAsia"/>
                <w:bCs/>
                <w:color w:val="000000"/>
              </w:rPr>
              <w:t>萬元（零用金限額）之公款依規定應逕付廠商，若有特殊狀況，須由承辦人先行預借或墊付者，應專案簽准後辦理。</w:t>
            </w:r>
          </w:p>
        </w:tc>
        <w:tc>
          <w:tcPr>
            <w:tcW w:w="1477" w:type="dxa"/>
            <w:tcBorders>
              <w:top w:val="nil"/>
              <w:left w:val="nil"/>
              <w:bottom w:val="nil"/>
              <w:right w:val="nil"/>
            </w:tcBorders>
          </w:tcPr>
          <w:p w:rsidR="00CA70E1" w:rsidRPr="000966F4" w:rsidRDefault="00CA70E1" w:rsidP="00CA70E1">
            <w:pPr>
              <w:adjustRightInd/>
              <w:spacing w:beforeLines="50" w:before="120" w:line="360" w:lineRule="exact"/>
              <w:jc w:val="center"/>
              <w:textAlignment w:val="auto"/>
              <w:rPr>
                <w:rFonts w:ascii="標楷體" w:eastAsia="標楷體" w:hAnsi="標楷體"/>
                <w:color w:val="000000"/>
              </w:rPr>
            </w:pPr>
            <w:r>
              <w:rPr>
                <w:rFonts w:ascii="標楷體" w:eastAsia="標楷體" w:hAnsi="標楷體" w:hint="eastAsia"/>
                <w:color w:val="000000"/>
              </w:rPr>
              <w:t>□</w:t>
            </w:r>
            <w:r w:rsidRPr="00D16372">
              <w:rPr>
                <w:rFonts w:ascii="標楷體" w:eastAsia="標楷體" w:hAnsi="標楷體" w:hint="eastAsia"/>
                <w:color w:val="000000"/>
              </w:rPr>
              <w:t xml:space="preserve"> 已瞭解</w:t>
            </w:r>
          </w:p>
        </w:tc>
      </w:tr>
      <w:tr w:rsidR="00CA70E1" w:rsidRPr="000966F4" w:rsidTr="000A05C5">
        <w:trPr>
          <w:trHeight w:val="410"/>
          <w:jc w:val="center"/>
        </w:trPr>
        <w:tc>
          <w:tcPr>
            <w:tcW w:w="527" w:type="dxa"/>
            <w:tcBorders>
              <w:top w:val="nil"/>
              <w:left w:val="nil"/>
              <w:bottom w:val="nil"/>
              <w:right w:val="nil"/>
            </w:tcBorders>
          </w:tcPr>
          <w:p w:rsidR="00CA70E1" w:rsidRPr="000966F4" w:rsidRDefault="00CA70E1" w:rsidP="00CA70E1">
            <w:pPr>
              <w:spacing w:beforeLines="50" w:before="120" w:line="360" w:lineRule="exact"/>
              <w:jc w:val="center"/>
              <w:rPr>
                <w:rFonts w:ascii="標楷體" w:eastAsia="標楷體" w:hAnsi="標楷體"/>
                <w:color w:val="000000"/>
              </w:rPr>
            </w:pPr>
            <w:r>
              <w:rPr>
                <w:rFonts w:ascii="標楷體" w:eastAsia="標楷體" w:hAnsi="標楷體" w:hint="eastAsia"/>
                <w:color w:val="000000"/>
              </w:rPr>
              <w:t>6</w:t>
            </w:r>
            <w:r w:rsidRPr="000966F4">
              <w:rPr>
                <w:rFonts w:ascii="標楷體" w:eastAsia="標楷體" w:hAnsi="標楷體" w:hint="eastAsia"/>
                <w:color w:val="000000"/>
              </w:rPr>
              <w:t>.</w:t>
            </w:r>
          </w:p>
        </w:tc>
        <w:tc>
          <w:tcPr>
            <w:tcW w:w="7633" w:type="dxa"/>
            <w:tcBorders>
              <w:top w:val="nil"/>
              <w:left w:val="nil"/>
              <w:bottom w:val="nil"/>
              <w:right w:val="nil"/>
            </w:tcBorders>
          </w:tcPr>
          <w:p w:rsidR="00CA70E1" w:rsidRPr="00104AFC" w:rsidRDefault="009B13D1" w:rsidP="00CA70E1">
            <w:pPr>
              <w:topLinePunct/>
              <w:spacing w:beforeLines="50" w:before="120" w:line="320" w:lineRule="exact"/>
              <w:ind w:leftChars="51" w:left="124" w:rightChars="54" w:right="130" w:hanging="2"/>
              <w:jc w:val="both"/>
              <w:rPr>
                <w:rFonts w:eastAsia="標楷體"/>
                <w:bCs/>
                <w:color w:val="000000"/>
              </w:rPr>
            </w:pPr>
            <w:r w:rsidRPr="00F01BCA">
              <w:rPr>
                <w:rFonts w:eastAsia="標楷體"/>
                <w:bCs/>
                <w:color w:val="000000"/>
              </w:rPr>
              <w:t>執行補助或委辦計畫應遵守撥款單位規定，如有疑慮，並可參閱「大學校院及教師辦理計畫經費核銷重要規定及作業釋疑」。</w:t>
            </w:r>
          </w:p>
        </w:tc>
        <w:tc>
          <w:tcPr>
            <w:tcW w:w="1477" w:type="dxa"/>
            <w:tcBorders>
              <w:top w:val="nil"/>
              <w:left w:val="nil"/>
              <w:bottom w:val="nil"/>
              <w:right w:val="nil"/>
            </w:tcBorders>
          </w:tcPr>
          <w:p w:rsidR="00CA70E1" w:rsidRPr="000966F4" w:rsidRDefault="00CA70E1" w:rsidP="00CA70E1">
            <w:pPr>
              <w:adjustRightInd/>
              <w:spacing w:beforeLines="50" w:before="120" w:line="360" w:lineRule="exact"/>
              <w:jc w:val="center"/>
              <w:textAlignment w:val="auto"/>
              <w:rPr>
                <w:rFonts w:ascii="標楷體" w:eastAsia="標楷體" w:hAnsi="標楷體"/>
                <w:color w:val="000000"/>
              </w:rPr>
            </w:pPr>
            <w:r>
              <w:rPr>
                <w:rFonts w:ascii="標楷體" w:eastAsia="標楷體" w:hAnsi="標楷體" w:hint="eastAsia"/>
                <w:color w:val="000000"/>
              </w:rPr>
              <w:t>□</w:t>
            </w:r>
            <w:r w:rsidRPr="00D16372">
              <w:rPr>
                <w:rFonts w:ascii="標楷體" w:eastAsia="標楷體" w:hAnsi="標楷體" w:hint="eastAsia"/>
                <w:color w:val="000000"/>
              </w:rPr>
              <w:t xml:space="preserve"> 已瞭解</w:t>
            </w:r>
          </w:p>
        </w:tc>
      </w:tr>
    </w:tbl>
    <w:p w:rsidR="00104AFC" w:rsidRDefault="00104AFC" w:rsidP="009B7D9F">
      <w:pPr>
        <w:spacing w:line="480" w:lineRule="exact"/>
        <w:rPr>
          <w:rFonts w:ascii="標楷體" w:eastAsia="標楷體" w:hAnsi="標楷體"/>
          <w:color w:val="000000"/>
          <w:sz w:val="28"/>
          <w:szCs w:val="28"/>
        </w:rPr>
      </w:pPr>
    </w:p>
    <w:p w:rsidR="00BB6580" w:rsidRDefault="00BB6580" w:rsidP="009B7D9F">
      <w:pPr>
        <w:spacing w:line="480" w:lineRule="exact"/>
        <w:rPr>
          <w:rFonts w:ascii="標楷體" w:eastAsia="標楷體" w:hAnsi="標楷體"/>
          <w:color w:val="000000"/>
          <w:sz w:val="28"/>
          <w:szCs w:val="28"/>
        </w:rPr>
      </w:pPr>
    </w:p>
    <w:p w:rsidR="00BB6580" w:rsidRDefault="00BB6580" w:rsidP="009B7D9F">
      <w:pPr>
        <w:spacing w:line="480" w:lineRule="exact"/>
        <w:rPr>
          <w:rFonts w:ascii="標楷體" w:eastAsia="標楷體" w:hAnsi="標楷體" w:hint="eastAsia"/>
          <w:color w:val="000000"/>
          <w:sz w:val="28"/>
          <w:szCs w:val="28"/>
        </w:rPr>
      </w:pPr>
      <w:bookmarkStart w:id="0" w:name="_GoBack"/>
      <w:bookmarkEnd w:id="0"/>
    </w:p>
    <w:p w:rsidR="009B13D1" w:rsidRDefault="009B13D1" w:rsidP="009B7D9F">
      <w:pPr>
        <w:spacing w:line="480" w:lineRule="exact"/>
        <w:rPr>
          <w:rFonts w:ascii="標楷體" w:eastAsia="標楷體" w:hAnsi="標楷體"/>
          <w:color w:val="000000"/>
          <w:sz w:val="28"/>
          <w:szCs w:val="28"/>
        </w:rPr>
      </w:pPr>
    </w:p>
    <w:p w:rsidR="009B13D1" w:rsidRDefault="009B13D1" w:rsidP="009B7D9F">
      <w:pPr>
        <w:spacing w:line="480" w:lineRule="exact"/>
        <w:rPr>
          <w:rFonts w:ascii="標楷體" w:eastAsia="標楷體" w:hAnsi="標楷體"/>
          <w:color w:val="000000"/>
          <w:sz w:val="28"/>
          <w:szCs w:val="28"/>
        </w:rPr>
      </w:pPr>
    </w:p>
    <w:p w:rsidR="00104AFC" w:rsidRDefault="00104AFC" w:rsidP="009B7D9F">
      <w:pPr>
        <w:spacing w:line="480" w:lineRule="exact"/>
        <w:rPr>
          <w:rFonts w:ascii="標楷體" w:eastAsia="標楷體" w:hAnsi="標楷體"/>
          <w:color w:val="000000"/>
          <w:sz w:val="28"/>
          <w:szCs w:val="28"/>
        </w:rPr>
      </w:pPr>
    </w:p>
    <w:p w:rsidR="009B7D9F" w:rsidRDefault="009B7D9F" w:rsidP="009B7D9F">
      <w:pPr>
        <w:spacing w:line="480" w:lineRule="exact"/>
        <w:rPr>
          <w:rFonts w:ascii="標楷體" w:eastAsia="標楷體" w:hAnsi="標楷體"/>
          <w:color w:val="000000"/>
          <w:sz w:val="28"/>
          <w:szCs w:val="28"/>
        </w:rPr>
      </w:pPr>
      <w:r w:rsidRPr="00CA755F">
        <w:rPr>
          <w:rFonts w:ascii="標楷體" w:eastAsia="標楷體" w:hAnsi="標楷體" w:hint="eastAsia"/>
          <w:color w:val="000000"/>
          <w:sz w:val="28"/>
          <w:szCs w:val="28"/>
        </w:rPr>
        <w:t>計畫主持人</w:t>
      </w:r>
      <w:r w:rsidR="00B65F80">
        <w:rPr>
          <w:rFonts w:ascii="標楷體" w:eastAsia="標楷體" w:hAnsi="標楷體" w:hint="eastAsia"/>
          <w:color w:val="000000"/>
          <w:sz w:val="28"/>
          <w:szCs w:val="28"/>
        </w:rPr>
        <w:t>簽章</w:t>
      </w:r>
      <w:r w:rsidRPr="00CA755F">
        <w:rPr>
          <w:rFonts w:ascii="標楷體" w:eastAsia="標楷體" w:hAnsi="標楷體" w:hint="eastAsia"/>
          <w:color w:val="000000"/>
          <w:sz w:val="28"/>
          <w:szCs w:val="28"/>
        </w:rPr>
        <w:t>：</w:t>
      </w:r>
      <w:r w:rsidRPr="00CA755F">
        <w:rPr>
          <w:rFonts w:ascii="標楷體" w:eastAsia="標楷體" w:hAnsi="標楷體" w:hint="eastAsia"/>
          <w:color w:val="000000"/>
          <w:sz w:val="28"/>
          <w:szCs w:val="28"/>
          <w:u w:val="single"/>
        </w:rPr>
        <w:t xml:space="preserve"> </w:t>
      </w:r>
      <w:r w:rsidR="00EE620C">
        <w:rPr>
          <w:rFonts w:ascii="標楷體" w:eastAsia="標楷體" w:hAnsi="標楷體" w:hint="eastAsia"/>
          <w:color w:val="000000"/>
          <w:sz w:val="28"/>
          <w:szCs w:val="28"/>
          <w:u w:val="single"/>
        </w:rPr>
        <w:t xml:space="preserve">           </w:t>
      </w:r>
      <w:r w:rsidRPr="00CA755F">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 xml:space="preserve">    </w:t>
      </w:r>
    </w:p>
    <w:p w:rsidR="009B7D9F" w:rsidRDefault="009B7D9F" w:rsidP="009B7D9F">
      <w:pPr>
        <w:jc w:val="distribute"/>
        <w:rPr>
          <w:rFonts w:ascii="標楷體" w:eastAsia="標楷體" w:hAnsi="標楷體"/>
          <w:color w:val="000000"/>
        </w:rPr>
      </w:pPr>
    </w:p>
    <w:p w:rsidR="009B7D9F" w:rsidRDefault="00CF13AA" w:rsidP="009B7D9F">
      <w:pPr>
        <w:jc w:val="distribute"/>
      </w:pPr>
      <w:r w:rsidRPr="00CF13AA">
        <w:rPr>
          <w:rFonts w:ascii="標楷體" w:eastAsia="標楷體" w:hAnsi="標楷體" w:hint="eastAsia"/>
          <w:color w:val="000000"/>
        </w:rPr>
        <w:t>中華民國○○年○○月○○日</w:t>
      </w:r>
    </w:p>
    <w:p w:rsidR="009814F2" w:rsidRDefault="009814F2" w:rsidP="00746237">
      <w:pPr>
        <w:spacing w:after="120"/>
      </w:pPr>
    </w:p>
    <w:sectPr w:rsidR="009814F2">
      <w:footerReference w:type="even" r:id="rId7"/>
      <w:pgSz w:w="11907" w:h="16840" w:code="9"/>
      <w:pgMar w:top="1021" w:right="1134" w:bottom="567" w:left="1134" w:header="567" w:footer="567" w:gutter="0"/>
      <w:cols w:space="425"/>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4C9" w:rsidRDefault="007434C9">
      <w:r>
        <w:separator/>
      </w:r>
    </w:p>
  </w:endnote>
  <w:endnote w:type="continuationSeparator" w:id="0">
    <w:p w:rsidR="007434C9" w:rsidRDefault="007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F2" w:rsidRDefault="009814F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814F2" w:rsidRDefault="009814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4C9" w:rsidRDefault="007434C9">
      <w:r>
        <w:separator/>
      </w:r>
    </w:p>
  </w:footnote>
  <w:footnote w:type="continuationSeparator" w:id="0">
    <w:p w:rsidR="007434C9" w:rsidRDefault="00743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F12"/>
    <w:multiLevelType w:val="singleLevel"/>
    <w:tmpl w:val="270A257C"/>
    <w:lvl w:ilvl="0">
      <w:start w:val="3"/>
      <w:numFmt w:val="taiwaneseCountingThousand"/>
      <w:lvlText w:val="%1、"/>
      <w:lvlJc w:val="left"/>
      <w:pPr>
        <w:tabs>
          <w:tab w:val="num" w:pos="480"/>
        </w:tabs>
        <w:ind w:left="480" w:hanging="480"/>
      </w:pPr>
      <w:rPr>
        <w:rFonts w:ascii="標楷體" w:eastAsia="標楷體" w:hint="eastAsia"/>
        <w:b w:val="0"/>
        <w:i w:val="0"/>
        <w:sz w:val="32"/>
        <w:u w:val="none"/>
      </w:rPr>
    </w:lvl>
  </w:abstractNum>
  <w:abstractNum w:abstractNumId="1" w15:restartNumberingAfterBreak="0">
    <w:nsid w:val="12A902C9"/>
    <w:multiLevelType w:val="hybridMultilevel"/>
    <w:tmpl w:val="0C06C520"/>
    <w:lvl w:ilvl="0" w:tplc="D2D4ABD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7C1F89"/>
    <w:multiLevelType w:val="hybridMultilevel"/>
    <w:tmpl w:val="28D25BEA"/>
    <w:lvl w:ilvl="0" w:tplc="A5ECD6A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FB09DA"/>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4497125F"/>
    <w:multiLevelType w:val="hybridMultilevel"/>
    <w:tmpl w:val="71B23028"/>
    <w:lvl w:ilvl="0" w:tplc="7F3CC6CE">
      <w:start w:val="1"/>
      <w:numFmt w:val="upp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479D103E"/>
    <w:multiLevelType w:val="singleLevel"/>
    <w:tmpl w:val="8C2AACEE"/>
    <w:lvl w:ilvl="0">
      <w:start w:val="1"/>
      <w:numFmt w:val="decimal"/>
      <w:lvlText w:val="%1."/>
      <w:lvlJc w:val="left"/>
      <w:pPr>
        <w:tabs>
          <w:tab w:val="num" w:pos="420"/>
        </w:tabs>
        <w:ind w:left="420" w:hanging="180"/>
      </w:pPr>
      <w:rPr>
        <w:rFonts w:hint="eastAsia"/>
      </w:rPr>
    </w:lvl>
  </w:abstractNum>
  <w:abstractNum w:abstractNumId="6" w15:restartNumberingAfterBreak="0">
    <w:nsid w:val="48AB7D79"/>
    <w:multiLevelType w:val="hybridMultilevel"/>
    <w:tmpl w:val="E85CC006"/>
    <w:lvl w:ilvl="0" w:tplc="0F94E1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DEF1F57"/>
    <w:multiLevelType w:val="singleLevel"/>
    <w:tmpl w:val="E9B8C7D8"/>
    <w:lvl w:ilvl="0">
      <w:start w:val="1"/>
      <w:numFmt w:val="taiwaneseCountingThousand"/>
      <w:lvlText w:val="%1、"/>
      <w:lvlJc w:val="left"/>
      <w:pPr>
        <w:tabs>
          <w:tab w:val="num" w:pos="645"/>
        </w:tabs>
        <w:ind w:left="645" w:hanging="645"/>
      </w:pPr>
      <w:rPr>
        <w:rFonts w:hint="eastAsia"/>
        <w:sz w:val="32"/>
      </w:rPr>
    </w:lvl>
  </w:abstractNum>
  <w:abstractNum w:abstractNumId="8" w15:restartNumberingAfterBreak="0">
    <w:nsid w:val="535E7610"/>
    <w:multiLevelType w:val="singleLevel"/>
    <w:tmpl w:val="6D9092C8"/>
    <w:lvl w:ilvl="0">
      <w:start w:val="2"/>
      <w:numFmt w:val="taiwaneseCountingThousand"/>
      <w:lvlText w:val="%1、"/>
      <w:lvlJc w:val="left"/>
      <w:pPr>
        <w:tabs>
          <w:tab w:val="num" w:pos="720"/>
        </w:tabs>
        <w:ind w:left="425" w:hanging="425"/>
      </w:pPr>
      <w:rPr>
        <w:rFonts w:ascii="標楷體" w:eastAsia="標楷體" w:hint="eastAsia"/>
        <w:sz w:val="32"/>
      </w:rPr>
    </w:lvl>
  </w:abstractNum>
  <w:abstractNum w:abstractNumId="9" w15:restartNumberingAfterBreak="0">
    <w:nsid w:val="6E4474A6"/>
    <w:multiLevelType w:val="hybridMultilevel"/>
    <w:tmpl w:val="6F8A7CEA"/>
    <w:lvl w:ilvl="0" w:tplc="EF368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E2110A7"/>
    <w:multiLevelType w:val="hybridMultilevel"/>
    <w:tmpl w:val="522E4068"/>
    <w:lvl w:ilvl="0" w:tplc="49209D0E">
      <w:numFmt w:val="bullet"/>
      <w:lvlText w:val="□"/>
      <w:lvlJc w:val="left"/>
      <w:pPr>
        <w:ind w:left="360" w:hanging="36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0"/>
  </w:num>
  <w:num w:numId="3">
    <w:abstractNumId w:val="3"/>
  </w:num>
  <w:num w:numId="4">
    <w:abstractNumId w:val="7"/>
  </w:num>
  <w:num w:numId="5">
    <w:abstractNumId w:val="5"/>
  </w:num>
  <w:num w:numId="6">
    <w:abstractNumId w:val="4"/>
  </w:num>
  <w:num w:numId="7">
    <w:abstractNumId w:val="9"/>
  </w:num>
  <w:num w:numId="8">
    <w:abstractNumId w:val="6"/>
  </w:num>
  <w:num w:numId="9">
    <w:abstractNumId w:val="1"/>
  </w:num>
  <w:num w:numId="10">
    <w:abstractNumId w:val="2"/>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4F2"/>
    <w:rsid w:val="0003624B"/>
    <w:rsid w:val="000A05C5"/>
    <w:rsid w:val="00102E22"/>
    <w:rsid w:val="00104AFC"/>
    <w:rsid w:val="00167E14"/>
    <w:rsid w:val="00531686"/>
    <w:rsid w:val="005725BD"/>
    <w:rsid w:val="005F3AD5"/>
    <w:rsid w:val="00632EB0"/>
    <w:rsid w:val="00664171"/>
    <w:rsid w:val="00671A85"/>
    <w:rsid w:val="006B304A"/>
    <w:rsid w:val="007434C9"/>
    <w:rsid w:val="00746237"/>
    <w:rsid w:val="00780186"/>
    <w:rsid w:val="007B1C04"/>
    <w:rsid w:val="00863F98"/>
    <w:rsid w:val="008C3053"/>
    <w:rsid w:val="00925A80"/>
    <w:rsid w:val="00930D55"/>
    <w:rsid w:val="009814F2"/>
    <w:rsid w:val="009B13D1"/>
    <w:rsid w:val="009B7D9F"/>
    <w:rsid w:val="00AB2863"/>
    <w:rsid w:val="00B65F80"/>
    <w:rsid w:val="00BB6580"/>
    <w:rsid w:val="00BD1CFD"/>
    <w:rsid w:val="00C153EA"/>
    <w:rsid w:val="00CA70E1"/>
    <w:rsid w:val="00CB65F9"/>
    <w:rsid w:val="00CC3368"/>
    <w:rsid w:val="00CF13AA"/>
    <w:rsid w:val="00D02190"/>
    <w:rsid w:val="00D16372"/>
    <w:rsid w:val="00E35C3C"/>
    <w:rsid w:val="00EE620C"/>
    <w:rsid w:val="00F30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F9CF0E-3882-44AC-9D5E-37C7E4A4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jc w:val="center"/>
      <w:outlineLvl w:val="0"/>
    </w:pPr>
    <w:rPr>
      <w:rFonts w:eastAsia="標楷體"/>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w:basedOn w:val="a"/>
    <w:pPr>
      <w:ind w:right="-427"/>
    </w:pPr>
    <w:rPr>
      <w:rFonts w:eastAsia="標楷體"/>
    </w:rPr>
  </w:style>
  <w:style w:type="paragraph" w:styleId="a6">
    <w:name w:val="Body Text Indent"/>
    <w:basedOn w:val="a"/>
    <w:pPr>
      <w:spacing w:after="120" w:line="120" w:lineRule="atLeast"/>
      <w:ind w:left="839"/>
    </w:pPr>
    <w:rPr>
      <w:rFonts w:ascii="標楷體" w:eastAsia="標楷體"/>
    </w:rPr>
  </w:style>
  <w:style w:type="paragraph" w:styleId="a7">
    <w:name w:val="footer"/>
    <w:basedOn w:val="a"/>
    <w:pPr>
      <w:tabs>
        <w:tab w:val="center" w:pos="4153"/>
        <w:tab w:val="right" w:pos="8306"/>
      </w:tabs>
    </w:pPr>
    <w:rPr>
      <w:sz w:val="20"/>
    </w:rPr>
  </w:style>
  <w:style w:type="character" w:styleId="a8">
    <w:name w:val="page number"/>
    <w:basedOn w:val="a0"/>
  </w:style>
  <w:style w:type="paragraph" w:styleId="a9">
    <w:name w:val="footnote text"/>
    <w:basedOn w:val="a"/>
    <w:semiHidden/>
    <w:rPr>
      <w:sz w:val="20"/>
    </w:rPr>
  </w:style>
  <w:style w:type="character" w:styleId="aa">
    <w:name w:val="footnote reference"/>
    <w:semiHidden/>
    <w:rPr>
      <w:vertAlign w:val="superscript"/>
    </w:rPr>
  </w:style>
  <w:style w:type="paragraph" w:styleId="2">
    <w:name w:val="Body Text Indent 2"/>
    <w:basedOn w:val="a"/>
    <w:pPr>
      <w:spacing w:line="240" w:lineRule="auto"/>
      <w:ind w:firstLine="397"/>
      <w:jc w:val="both"/>
    </w:pPr>
    <w:rPr>
      <w:rFonts w:eastAsia="標楷體"/>
    </w:rPr>
  </w:style>
  <w:style w:type="paragraph" w:styleId="3">
    <w:name w:val="Body Text Indent 3"/>
    <w:basedOn w:val="a"/>
    <w:pPr>
      <w:spacing w:line="240" w:lineRule="auto"/>
      <w:ind w:firstLine="482"/>
      <w:jc w:val="both"/>
    </w:pPr>
    <w:rPr>
      <w:rFonts w:ascii="標楷體" w:eastAsia="標楷體"/>
    </w:rPr>
  </w:style>
  <w:style w:type="paragraph" w:styleId="ab">
    <w:name w:val="header"/>
    <w:basedOn w:val="a"/>
    <w:pPr>
      <w:tabs>
        <w:tab w:val="center" w:pos="4153"/>
        <w:tab w:val="right" w:pos="8306"/>
      </w:tabs>
      <w:adjustRightInd/>
      <w:snapToGrid w:val="0"/>
      <w:spacing w:line="240" w:lineRule="auto"/>
      <w:textAlignment w:val="auto"/>
    </w:pPr>
    <w:rPr>
      <w:kern w:val="2"/>
      <w:sz w:val="20"/>
    </w:rPr>
  </w:style>
  <w:style w:type="character" w:styleId="ac">
    <w:name w:val="Hyperlink"/>
    <w:rPr>
      <w:color w:val="0000FF"/>
      <w:u w:val="single"/>
    </w:rPr>
  </w:style>
  <w:style w:type="character" w:styleId="ad">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37325;&#35201;&#25991;&#20214;\&#32156;&#20108;&#31185;\&#23560;&#38988;&#30740;&#31350;&#35336;&#30059;&#35036;&#21161;&#32147;&#36027;&#30003;&#35531;&#27880;&#24847;&#20107;&#38917;\&#34920;C0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表C001</Template>
  <TotalTime>4</TotalTime>
  <Pages>1</Pages>
  <Words>143</Words>
  <Characters>817</Characters>
  <Application>Microsoft Office Word</Application>
  <DocSecurity>0</DocSecurity>
  <Lines>6</Lines>
  <Paragraphs>1</Paragraphs>
  <ScaleCrop>false</ScaleCrop>
  <Company>國科會</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八十八年度行政院國家科學委員會專題研究計畫申請書</dc:title>
  <dc:subject/>
  <dc:creator>nsc</dc:creator>
  <cp:keywords/>
  <dc:description/>
  <cp:lastModifiedBy>Microsoft 帳戶</cp:lastModifiedBy>
  <cp:revision>3</cp:revision>
  <cp:lastPrinted>2026-05-13T03:28:00Z</cp:lastPrinted>
  <dcterms:created xsi:type="dcterms:W3CDTF">2026-05-13T01:38:00Z</dcterms:created>
  <dcterms:modified xsi:type="dcterms:W3CDTF">2026-05-13T03:30:00Z</dcterms:modified>
</cp:coreProperties>
</file>